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7D5CD7" w:rsidRPr="002E4DEE" w:rsidTr="00486C9B">
        <w:trPr>
          <w:trHeight w:val="1391"/>
        </w:trPr>
        <w:tc>
          <w:tcPr>
            <w:tcW w:w="5327" w:type="dxa"/>
          </w:tcPr>
          <w:p w:rsidR="007D5CD7" w:rsidRPr="000F398F" w:rsidRDefault="007D5CD7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7D5CD7" w:rsidRPr="000F398F" w:rsidRDefault="007D5CD7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7D5CD7" w:rsidRPr="000F398F" w:rsidRDefault="007D5CD7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7D5CD7" w:rsidRPr="000F398F" w:rsidRDefault="007D5CD7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7D5CD7" w:rsidRPr="000F398F" w:rsidRDefault="007D5CD7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7D5CD7" w:rsidRPr="000F398F" w:rsidRDefault="007D5CD7" w:rsidP="00486C9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7D5CD7" w:rsidRPr="000F398F" w:rsidRDefault="007D5CD7" w:rsidP="00486C9B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7D5CD7" w:rsidRPr="000F398F" w:rsidRDefault="007D5CD7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7D5CD7" w:rsidRPr="000F398F" w:rsidRDefault="007D5CD7" w:rsidP="00486C9B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7D5CD7" w:rsidRPr="000F398F" w:rsidRDefault="007D5CD7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7D5CD7" w:rsidRPr="000F398F" w:rsidRDefault="007D5CD7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2013г. №_____</w:t>
            </w:r>
          </w:p>
        </w:tc>
      </w:tr>
    </w:tbl>
    <w:p w:rsidR="007D5CD7" w:rsidRPr="002E4DEE" w:rsidRDefault="007D5CD7" w:rsidP="007D5CD7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7D5CD7" w:rsidRDefault="007D5CD7" w:rsidP="007D5C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5CD7" w:rsidRDefault="007D5CD7" w:rsidP="007D5C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5CD7" w:rsidRDefault="007D5CD7" w:rsidP="007D5C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5CD7" w:rsidRDefault="007D5CD7" w:rsidP="007D5C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5CD7" w:rsidRDefault="007D5CD7" w:rsidP="007D5CD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7D5CD7" w:rsidRPr="002264F5" w:rsidRDefault="007D5CD7" w:rsidP="007D5CD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D5CD7" w:rsidRPr="0082094E" w:rsidRDefault="007D5CD7" w:rsidP="007D5CD7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2D7027" w:rsidRDefault="007D5CD7" w:rsidP="007D5CD7">
      <w:pPr>
        <w:shd w:val="clear" w:color="auto" w:fill="FFFFFF" w:themeFill="background1"/>
        <w:spacing w:after="0" w:line="324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DF00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</w:t>
      </w:r>
      <w:r w:rsidR="002D702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ОЛОЖЕНИЕ</w:t>
      </w:r>
    </w:p>
    <w:p w:rsidR="007D5CD7" w:rsidRPr="00DF00BF" w:rsidRDefault="007D5CD7" w:rsidP="007D5CD7">
      <w:pPr>
        <w:shd w:val="clear" w:color="auto" w:fill="FFFFFF" w:themeFill="background1"/>
        <w:spacing w:after="0" w:line="324" w:lineRule="atLeast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F00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 порядке привлечения,</w:t>
      </w:r>
    </w:p>
    <w:p w:rsidR="007D5CD7" w:rsidRPr="00DF00BF" w:rsidRDefault="007D5CD7" w:rsidP="007D5CD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DF00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расходования и учёта внебюджетных средств, целевых взносов и пожертвований физических и юридических лиц </w:t>
      </w:r>
      <w:r w:rsidRPr="00DF00B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br/>
      </w:r>
    </w:p>
    <w:p w:rsidR="007D5CD7" w:rsidRPr="0082094E" w:rsidRDefault="007D5CD7" w:rsidP="007D5CD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82094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               МБОУ Верхнеобливская ООШ</w:t>
      </w:r>
    </w:p>
    <w:p w:rsidR="007D5CD7" w:rsidRDefault="007D5CD7" w:rsidP="007D5CD7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Pr="00F323CB" w:rsidRDefault="007D5CD7" w:rsidP="007D5CD7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7D5CD7" w:rsidRPr="00F323CB" w:rsidRDefault="007D5CD7" w:rsidP="007D5CD7">
      <w:pPr>
        <w:spacing w:after="0" w:line="240" w:lineRule="auto"/>
        <w:ind w:firstLine="6237"/>
        <w:rPr>
          <w:rFonts w:ascii="Times New Roman" w:hAnsi="Times New Roman" w:cs="Times New Roman"/>
          <w:sz w:val="28"/>
          <w:szCs w:val="28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027" w:rsidRDefault="002D702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Default="007D5CD7" w:rsidP="007D5CD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1.1.Настящее Положение является локальным нормативным актом, регулирующим порядок расходования внебюджетных средств  муниципального бюджетного общеобразовательного  учреждения (далее МБОУ) Верхнеобливской основной общеобразовательной школы.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 в соответствии с Гражданским кодексом Российской Федерации, Налоговым кодексом Российской Федерации, Бюджетным кодексом Российской Федерации, Федеральным законом от 29.12.2012 № 273-ФЗ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благотворительных организациях», иными нормативными правовыми актами Российской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и  Ростовской области, Уставом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Основным источником финансирования учреждений является областной и муниципальный бюджет  Тацинского района.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финансирования образовательного учреждения, предусмотренные настоящим Положением, являются дополнительными к основному источнику. Привлечение учреждением дополнительных источников финансирования не влечет за собой сокращения объемов финансирования учреждения из областного и муниципального бюджета Тацинского района.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Дополнительная поддержка учреждению оказывается в следующих формах: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добровольные пожертвования;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целевые взносы;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безвозмездное выполнение работ, предоставление услуг (безвозмездная помощь).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Основным принципом привлечения дополнительной поддержки учреждению является добровольность ее внесения физическими и юридическими лицами, в том числе родителями (законными представителями).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 Основные понятия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рамках настоящего Положения используются следующие понятия и термины: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Законные представител</w:t>
      </w:r>
      <w:proofErr w:type="gramStart"/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</w:t>
      </w: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родители, усыновители, опекуны, попечители детей, посещающих учреждение.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Целевые взнос</w:t>
      </w:r>
      <w:proofErr w:type="gramStart"/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ы</w:t>
      </w: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добровольная передача юридическими или физическими лицами (в том числе законными представителями) денежных средств, которые должны быть использованы по объявленному (целевому) назначению. В контексте данного Положения целевое назначение - развитие образовательного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Добровольное пожертвовани</w:t>
      </w:r>
      <w:proofErr w:type="gramStart"/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</w:t>
      </w: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дарение вещи (включая деньги, ценные бумаги) или права в общеполезных целях. В контексте данного Положения общеполезная цель – развитие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Жертвовател</w:t>
      </w:r>
      <w:proofErr w:type="gramStart"/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ь</w:t>
      </w: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юридическое или физическое лицо (в том числе законные представители), осуществляющее добровольное пожертвование.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Одаряемый</w:t>
      </w: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gramStart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разовательное учреждение, принимающее целевые взносы, добровольные пожертвования от жертвователей на основании заключенного между сторонами договора о целевых взносах и добровольных пожертвованиях. В настоящем Положении понятия «одаряемый» и «учреждение» используются в равных значениях.</w:t>
      </w:r>
    </w:p>
    <w:p w:rsidR="007D5CD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Безвозмездная помощь </w:t>
      </w: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выполняемые для учреждения работы и оказываемые услуги в качестве помощи  на безвозмездной основе юридическими и физическими лицами.</w:t>
      </w:r>
    </w:p>
    <w:p w:rsidR="002D7027" w:rsidRDefault="002D702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027" w:rsidRPr="002D7027" w:rsidRDefault="002D702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Порядок привлечения и расходования целевых взносов и добровольных пожертвований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Порядок привлечения добровольных пожертвований и целевых взносов для нужд учреждения относится к компетенции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 принятие добровольных пожертвований от юридических и физических лиц не требуется разрешения и согласия учредителя.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Целевые взносы и добровольные пожертвования в виде денежных средств зачисляются на лицевой внебюджетный счет учреждения в безналичной форме расчетов.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внесении целевых взносов жертвователи (законные представители) в письменной форме оформляют договор пожертвования денежных средств учреждению на определенные цели (целевые взносы) по прилагаемой к настоящему Положению форме (типовая форма - Приложение № 1).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Добровольные пожертвования учреждению могут осуществляться юридическими и физическими лицами, в том числе законными представителями.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При внесении добровольных пожертвований жертвователь вправе: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указать целевое назначение вносимого им пожертвования, заключив договор пожертвования имущества по прилагаемой к настоящему Положению форме (типовая форма - Приложение № 2);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3.7.  Руководитель учреждения организует с помощью централизованной бухгалтерии раздельный бухгалтерский учет целевых взносов и добровольных пожертвований в соответствии с требованиями бюджетного и налогового законодательства.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Целевые взносы и добровольные пожертвования в виде материальных ценностей передаются по договору и актам приема-передачи установленного образца в соответствии с приложениями №№ 2, 3 к настоящему Положению и подписываются руководителем учреждения и жертвователем.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Добровольные пожертвования направляются на развитие учреждения, не связанное с образовательным  процессом.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привлечения безвозмездной помощи (содействие).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рамках настоящего Положения жертвователь может оказывать учреждению поддержку в виде безвозмездной помощи (содействие), а именно выполнять для учреждения работы и оказывать услуги в качестве помощи (содействия) на безвозмездной основе (далее – оказание безвозмездной помощи).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оказании безвозмездной помощи между учреждением и жертвователем заключается договор на безвозмездное выполнение работ (оказание услуг) по форме, прилагаемой к настоящему Положению (типовая форма - Приложение № 4) и подписывается по окончанию работ (оказанию услуг) руководителем учреждения и жертвователем акт сдачи-приемки выполненных работ (оказанных услуг) установленного к настоящему Положению образца (типовая форма – Приложение №3).</w:t>
      </w:r>
      <w:proofErr w:type="gramEnd"/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Ведение бухгалтерского и налогового учета целевых взносов и добровольных пожертвований</w:t>
      </w:r>
      <w:bookmarkStart w:id="0" w:name="_GoBack"/>
      <w:bookmarkEnd w:id="0"/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Учреждение ведет через централизованную бухгалтерию обособленный раздельный бухгалтерский и налоговый учет всех операций целевых взносов и добровольных пожертвований, для использования которых установлено определенное назначение.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При безналичном поступлении денежных средств </w:t>
      </w:r>
      <w:proofErr w:type="gramStart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 централизованной бухгалтерии, закрепленный за учреждением приходует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 основании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кассу централизованной бухгалтерии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Налоговый учет в учреждении ведется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В платежном документе в графе «назначение платежа пожертвования по договору №… </w:t>
      </w:r>
      <w:proofErr w:type="gramStart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… ». В случае указания иных назначений в платежном документе сумма пожертвования облагается налогом в соответствии с налоговым законодательством.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 Отчетность по целевым взносам и добровольным пожертвованиям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Учреждение обязано на собраниях родителей в установленные сроки и форме, но не реже одного раза в год, публично отчитываться перед жертвователями, в том числе законными представителями, о направлениях использования и израсходованных суммах целевых взносов и добровольных пожертвований. Отчет должен содержать достоверную и полную информацию в доступной и наглядной форме. Для ознакомления с отчетом наибольшего числа жертвователей отчет может быть размещен по группам на информационных стендах учреждения и в обязательном порядке на официальном сайте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Управляющий совет учреждения может в любой момент осуществить контроль за переданными учреждению средствами. Администрация учреждения обязана </w:t>
      </w:r>
      <w:proofErr w:type="gramStart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отчет</w:t>
      </w:r>
      <w:proofErr w:type="gramEnd"/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использовании добровольных пожертвований по его требованию.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Ответственность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Руководитель учреждения несет персональную ответственность за соблюдение порядка привлечения дополнительной поддержки, в том числе за привлечением и использованием целевых взносов, добровольных пожертвований в соответствии с настоящим Положением и действующим законодательством.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Особые положения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Запрещается отказывать законным представителям в приеме детей в учреждение или исключать из него из-за невозможности или нежелания законных представителей вносить целевые взносы, добровольные пожертвования.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Запрещается принуждение со стороны работников учреждений к внесению законными представителями целевых взносов, добровольных пожертвований.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Запрещается сбор целевых взносов и добровольных пожертвований в виде наличных денежных средств работниками учреждения.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5CD7" w:rsidRPr="002D7027" w:rsidRDefault="007D5CD7" w:rsidP="002D702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00B4" w:rsidRPr="002D7027" w:rsidRDefault="00BF00B4" w:rsidP="002D70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F00B4" w:rsidRPr="002D7027" w:rsidSect="00BF00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D5CD7"/>
    <w:rsid w:val="001579B3"/>
    <w:rsid w:val="002D7027"/>
    <w:rsid w:val="00455A3E"/>
    <w:rsid w:val="007D5CD7"/>
    <w:rsid w:val="00B32CB5"/>
    <w:rsid w:val="00B83534"/>
    <w:rsid w:val="00BF0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CD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79B3"/>
    <w:pPr>
      <w:widowControl w:val="0"/>
      <w:suppressAutoHyphens/>
      <w:spacing w:after="0" w:line="240" w:lineRule="auto"/>
      <w:ind w:left="720" w:firstLine="709"/>
      <w:jc w:val="both"/>
    </w:pPr>
    <w:rPr>
      <w:rFonts w:ascii="Times New Roman" w:eastAsia="Arial Unicode MS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7818</Characters>
  <Application>Microsoft Office Word</Application>
  <DocSecurity>0</DocSecurity>
  <Lines>65</Lines>
  <Paragraphs>18</Paragraphs>
  <ScaleCrop>false</ScaleCrop>
  <Company>МОУ Верхнеобливская ООШ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2015-03-26T06:57:00Z</dcterms:created>
  <dcterms:modified xsi:type="dcterms:W3CDTF">2015-03-26T09:23:00Z</dcterms:modified>
</cp:coreProperties>
</file>