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8F" w:rsidRPr="00BF608F" w:rsidRDefault="00BF608F" w:rsidP="00BF6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 общеобразовательное учреждение </w:t>
      </w:r>
      <w:proofErr w:type="spellStart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Верхнеобливская</w:t>
      </w:r>
      <w:proofErr w:type="spellEnd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</w:t>
      </w:r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Утверждаю:</w:t>
      </w:r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Директор школы:</w:t>
      </w:r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__________</w:t>
      </w:r>
      <w:proofErr w:type="spellStart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В.А.Елисеева</w:t>
      </w:r>
      <w:proofErr w:type="spellEnd"/>
    </w:p>
    <w:p w:rsidR="00BF608F" w:rsidRPr="00BF608F" w:rsidRDefault="00BF608F" w:rsidP="00BF6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Arial Black" w:eastAsia="Times New Roman" w:hAnsi="Arial Black" w:cs="Times New Roman"/>
          <w:sz w:val="28"/>
          <w:szCs w:val="28"/>
          <w:lang w:eastAsia="ru-RU"/>
        </w:rPr>
        <w:t>ПОЛОЖЕНИЕ</w:t>
      </w:r>
      <w:r w:rsidRPr="00BF608F">
        <w:rPr>
          <w:rFonts w:ascii="Arial Black" w:eastAsia="Times New Roman" w:hAnsi="Arial Black" w:cs="Times New Roman"/>
          <w:sz w:val="28"/>
          <w:szCs w:val="28"/>
          <w:lang w:eastAsia="ru-RU"/>
        </w:rPr>
        <w:br/>
        <w:t>о размерах и условиях осуществления выплат стимулирующего характера работникам школы </w:t>
      </w:r>
    </w:p>
    <w:p w:rsidR="00BF608F" w:rsidRPr="00BF608F" w:rsidRDefault="00BF608F" w:rsidP="00BF6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 1. Общие положения </w:t>
      </w:r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Настоящее Положение (далее – Положение) «О размерах и условиях осуществления выплат стимулирующего» работникам МОУ </w:t>
      </w:r>
      <w:proofErr w:type="spellStart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Верхнеобливской</w:t>
      </w:r>
      <w:proofErr w:type="spellEnd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(далее – ОУ</w:t>
      </w:r>
      <w:proofErr w:type="gramStart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разработано на основании Трудового Кодекса РФ, Типового положения об образовательном учреждении, Устава школы, постановления Администрации РО «Об оплате труда работников областных государственных образовательных учреждений», приложения № 6 к постановлению Главы Тацинского района от 31.10.2008 г. №627 «Об оплате труда работников муниципальных образовательных учреждений». Настоящее Положение устанавливает виды, условия и размеры выплат стимулирующего характера работникам ОУ.</w:t>
      </w:r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выплат стимулирующего характера</w:t>
      </w:r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 2.1. В соответствии с Перечнем видов выплат стимулирующего характера в муниципальных учреждениях, утвержденным постановлением Администрации РО «</w:t>
      </w:r>
      <w:proofErr w:type="gramStart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оплате труда работников областных государственных образовательных учреждений», приложением № 6 к постановлению Главы Тацинского района от 31.10.2008 г. №627 «Об оплате труда работников муниципальных образовательных учреждений», работникам устанавливаются следующие виды выплат стимулирующего характера: Выплаты стимулирующего характера: - за интенсивность и высокие результаты работы; - за качество выполняемых работ; - за выслугу лет; - премиальные выплаты по итогам работы.</w:t>
      </w:r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Выплаты стимулирующего характера устанавливаются в виде надбавок или повышающего коэффициента к должностным окладам (ставкам заработной платы) работников по соответствующим квалификационным уровням профессиональной квалификационной группы. Размер выплат по повышающему коэффициенту определяется путем умножения размера должностного оклада, ставки заработной платы на повышающий коэффициент. </w:t>
      </w:r>
      <w:proofErr w:type="gramStart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повышающих коэффициентов не образует новый должностной оклад (ставку заработной платы) и не учитывается при начислении иных стимулирующих и компенсационных выплат, устанавливаемых к должностному окладу (ставке заработной платы), за исключением повышающих коэффициентов за наличие квалификационной категории, образование, за выполнение важных (особо важных) и ответственных (особо ответственных) работ, которые учитываются при определении размера компенсационных выплат).</w:t>
      </w:r>
      <w:proofErr w:type="gramEnd"/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Размеры и условия осуществления стимулирующих выплат конкретизируются в локальных нормативных актах ОУ.</w:t>
      </w:r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 2.4. Работникам устанавливаются следующие выплаты за интенсивность и высокие результаты работы:</w:t>
      </w:r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Повышающий коэффициент к должностным окладам работников учреждений (структурных подразделений) за специфику работы: № </w:t>
      </w:r>
      <w:proofErr w:type="gramStart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пПеречень</w:t>
      </w:r>
      <w:proofErr w:type="spellEnd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(структурных подразделений) Наименование должностей, профессий в этих учреждениях (структурных подразделениях), занятие которых дает право на установление повышающего </w:t>
      </w:r>
      <w:proofErr w:type="spellStart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коэффициентаРазмер</w:t>
      </w:r>
      <w:proofErr w:type="spellEnd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повышающего коэффициента</w:t>
      </w: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Учреждения (структурные подразделения учреждений), расположенные в сельских населенных пунктах и рабочих поселках Руководители и специалисты</w:t>
      </w:r>
      <w:proofErr w:type="gramStart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proofErr w:type="gramEnd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,25</w:t>
      </w: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Примечание к подпунктам 2.4.1 Повышающий коэффициент к должностным окладам работников учреждений (структурных подразделений) за специфику работы и за высокие результаты работы устанавливается по основной работе.</w:t>
      </w:r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Работникам ОУ устанавливаются следующие выплаты за качество выполняемых работ: - повышающий коэффициент за квалификацию; - надбавка за качество выполняемых работ; - персональный повышающий коэффициент; - повышающий коэффициент к ставке заработной платы за выполнение важных (особо важных) и ответственных (особо ответственных) работ.</w:t>
      </w:r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Повышающий коэффициент за квалификацию устанавливается: 2.6.1. Работникам при наличии квалификационной категории: - второй квалификационной категории – 0,07; - первой квалификационной категории – 0,15; - высшей квалификационной категории – 0,25. Повышающий коэффициент за квалификацию устанавливается специалистам при работе по специальности, по которой им присвоена квалификационная категория, со дня издания приказа о присвоении квалификационной категории.</w:t>
      </w:r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Надбавка за качество выполняемых работ устанавливается работникам, которым присвоена ученая степень, почетное звание по основному профилю профессиональной деятельности: при наличии ученой степени доктора наук в соответствии с профилем вы</w:t>
      </w: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полняемой работы по основной и совмещаемой должности – до 30 процентов должностного оклада; </w:t>
      </w:r>
      <w:proofErr w:type="gramStart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ученой степени кандидата наук в соответствии с профилем вы</w:t>
      </w: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полняемой работы по основной и совмещаемой должности – до 20 процентов должностного оклада; при наличии почетного звания «народный» – до 30 процентов должностного оклада, «заслу</w:t>
      </w: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женный» – до 20 процентов должностного оклада по основной и совмещаемой должности, награжденным ведомственным почетным званием (на</w:t>
      </w: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грудным знаком) – до 15 процентов должностного оклада по основной долж</w:t>
      </w: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</w:t>
      </w:r>
      <w:proofErr w:type="gramEnd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Надбавка за качество выполняемых работ при наличии ученой степени доктора наук устанавливается при присуждении ученой степени </w:t>
      </w:r>
      <w:proofErr w:type="gramStart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принятия</w:t>
      </w:r>
      <w:proofErr w:type="gramEnd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Высшим аттестационным комитетом Российской Федерации о выдаче диплома. Надбавка за качество выполняемых работ при наличии ученой степени кандидата наук устанавливается при присуждении ученой степени </w:t>
      </w:r>
      <w:proofErr w:type="gramStart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принятия</w:t>
      </w:r>
      <w:proofErr w:type="gramEnd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диссертационного совета после принятия ре</w:t>
      </w: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шения Высшим аттестационным комитетом Российской Федерации о выдаче ди</w:t>
      </w: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плома. Надбавка за качество выполняемых работ имеющим почетное звание (нагрудный знак) устанавливается со дня присвоения по</w:t>
      </w: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четного звания или награждения нагрудным знаком. При на</w:t>
      </w: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личии у работника двух и бо</w:t>
      </w: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лее почетных званий и (или) нагрудных знаков надбавка устанавливается по одному из имеющихся оснований, имеющему большее значение.</w:t>
      </w:r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 2.8. Педагогическим работникам повышающий коэффициент за квалификацию и надбавка за качество выполняемых работ устанавливается к должностному окладу с учетом норм учебной или преподавательской нагрузки.</w:t>
      </w:r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 2.10. Надбавка за качество выполняемых работ устанавливается водителям автомобилей всех типов, имеющим 1-й класс в размере 25 процентов ставки заработной платы, 2-й класс — в размере 10 процентов ставки заработной платы за фактически отработанное время в качестве водителя.</w:t>
      </w:r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Персональный повышающий коэффициент – до 2,0. Решение об установлении персонального повышающего коэффициента к должностному окладу, ставке заработной платы и его размерах принимается с учетом уровня профессиональной подготовленности работника, сложности, важности выполняемой работы, степени самостоятельности и ответственности при выполнении поставленных задач и других факторов. Персональный повышающий коэффициент работникам устанавливается руководителем учреждения. Персональный повышающий коэффициент руководителю учреждения устанавливается по решению Отдела образования Администрации Тацинского района. Персональный </w:t>
      </w: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повышающий коэффициент устанавливается работнику по основной работе на определенный период в течение календарного года при условии </w:t>
      </w:r>
      <w:proofErr w:type="gramStart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экономии фонда оплаты труда учреждения</w:t>
      </w:r>
      <w:proofErr w:type="gramEnd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Повышающий коэффициент к ставке заработной платы за выполнение важных (особо важных) и ответственных (особо ответственных) работ в размере до 0,2 устанавливается по решению руководителя учреждения рабочим, имеющим не ниже 6 квалификационного разряда и привлекаемым для выполнения важных (особо важных) и ответственных (особо ответственных) работ.</w:t>
      </w:r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Повышающий коэффициент к должностному окладу за выслугу лет устанавливается руководителям, специалистам и служащим в зависимости от общего количества лет, проработанных в учреждениях бюджетной сферы. Размеры повышающего коэффициента к должностному окладу за выслугу лет: при выслуге лет от 1 года до 5 лет – 0,10; при выслуге лет от 5 до 10 лет – 0,15; при выслуге лет от 10 до 15 лет – 0,20; при выслуге лет свыше 15 лет – 0,30. Повышающий коэффициент к должностному окладу за выслугу лет устанавливается работнику по основной работе. Педагогическим работникам повышающий коэффициент к должностному окладу за выслугу лет устанавливается с учетом норм учебной или преподавательской нагрузки. Установление (изменение) размера повышающего коэффициента к должностному окладу за выслугу лет производится со дня достижения отработанного периода, дающего право на увеличение размера повышающего коэффициента, если документы, подтверждающие отработанный период, находятся в учреждении, или со дня представления работником необходимого документа, подтверждающего отработанный период.</w:t>
      </w:r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 2.14. Стимулирующие выплаты за интенсивность и высокие результаты работы, за качество выполняемых работ, за выслугу лет предусматриваются при планировании фонда оплаты труда на очередной финансовый год, за исключением персонального повышающего коэффициента.</w:t>
      </w:r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Работникам ОУ осуществляются премиальные выплаты по итогам работы, на выплату которых предусматриваются средства в размере 5 процентов от планового фонда оплаты труда, из них до 1,5 процента - на премирование руководителя учреждения, его заместителей. Премирование руководителя, заместителей руководителя осуществляется на основании Положения о премировании, утверждаемого муниципальным органом исполнительной власти, в ведомственной принадлежности которого находится учреждение образования, с учетом целевых показателей эффективности деятельности учреждения. Премирование работников осуществляется по решению руководителя учреждения в соответствии с Положением о премировании. 2.15.1. Система показателей и условия премирования работников разрабатывается учреждением самостоятельно и фиксируется в локальном нормативном акте, утверждаемом руководителем учреждения с учетом мнения представительного органа работников.</w:t>
      </w:r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2.15.2. </w:t>
      </w:r>
      <w:proofErr w:type="gramStart"/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показателей и условий премирования следует учитывать: успешное и добросовестное исполнение работником своих должностных обязанностей в соответствующем периоде; инициативу, творчество и применение в работе современных форм и методов организации труда; качественную подготовку и проведение мероприятий, связанных с уставной деятельностью учреждения; участие в течение месяца в выполнении особо важных работ и мероприятий.</w:t>
      </w:r>
      <w:proofErr w:type="gramEnd"/>
    </w:p>
    <w:p w:rsidR="00BF608F" w:rsidRPr="00BF608F" w:rsidRDefault="00BF608F" w:rsidP="00BF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08F">
        <w:rPr>
          <w:rFonts w:ascii="Times New Roman" w:eastAsia="Times New Roman" w:hAnsi="Times New Roman" w:cs="Times New Roman"/>
          <w:sz w:val="24"/>
          <w:szCs w:val="24"/>
          <w:lang w:eastAsia="ru-RU"/>
        </w:rPr>
        <w:t>2.15.3. Конкретный размер премии может определяться как в процентах к должностному окладу (ставке заработной платы) работника, так и в абсолютном размере.</w:t>
      </w:r>
    </w:p>
    <w:p w:rsidR="001A0D0B" w:rsidRDefault="001A0D0B">
      <w:bookmarkStart w:id="0" w:name="_GoBack"/>
      <w:bookmarkEnd w:id="0"/>
    </w:p>
    <w:sectPr w:rsidR="001A0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D3"/>
    <w:rsid w:val="001A0D0B"/>
    <w:rsid w:val="002C49D3"/>
    <w:rsid w:val="00B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1610</Words>
  <Characters>9180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2016-03-28T16:02:00Z</dcterms:created>
  <dcterms:modified xsi:type="dcterms:W3CDTF">2016-03-28T16:03:00Z</dcterms:modified>
</cp:coreProperties>
</file>